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Indonesia Berisiko Kehilangan Peluang Emas Ekonomi</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i w:val="1"/>
          <w:rtl w:val="0"/>
        </w:rPr>
        <w:t xml:space="preserve">Jalan yang sulit terbentang di depan Indonesia. Dihadapkan pada kesempatan langka untuk meningkatkan pertumbuhan ekonomi, Indonesia masih memiliki masalah-masalah besar yang harus dipecahkan</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5731510" cy="3822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Oleh: Werry Darta Taifur – Universitas Andalas</w:t>
      </w:r>
    </w:p>
    <w:p w:rsidR="00000000" w:rsidDel="00000000" w:rsidP="00000000" w:rsidRDefault="00000000" w:rsidRPr="00000000" w14:paraId="00000008">
      <w:pPr>
        <w:rPr/>
      </w:pPr>
      <w:bookmarkStart w:colFirst="0" w:colLast="0" w:name="_rhcji1rqpqug" w:id="0"/>
      <w:bookmarkEnd w:id="0"/>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Arial" w:cs="Arial" w:eastAsia="Arial" w:hAnsi="Arial"/>
          <w:i w:val="1"/>
          <w:color w:val="241f21"/>
          <w:sz w:val="23"/>
          <w:szCs w:val="23"/>
          <w:shd w:fill="f8f7f7" w:val="clear"/>
        </w:rPr>
      </w:pPr>
      <w:r w:rsidDel="00000000" w:rsidR="00000000" w:rsidRPr="00000000">
        <w:rPr>
          <w:rFonts w:ascii="Arial" w:cs="Arial" w:eastAsia="Arial" w:hAnsi="Arial"/>
          <w:i w:val="1"/>
          <w:color w:val="241f21"/>
          <w:sz w:val="18"/>
          <w:szCs w:val="18"/>
          <w:shd w:fill="f8f7f7" w:val="clear"/>
          <w:rtl w:val="0"/>
        </w:rPr>
        <w:t xml:space="preserve">Keragaman penduduk Indonesia memunculkan perbedaan tingkat ekonomi di seluruh provinsi. </w:t>
      </w:r>
      <w:hyperlink r:id="rId7">
        <w:r w:rsidDel="00000000" w:rsidR="00000000" w:rsidRPr="00000000">
          <w:rPr>
            <w:rFonts w:ascii="Arial" w:cs="Arial" w:eastAsia="Arial" w:hAnsi="Arial"/>
            <w:i w:val="1"/>
            <w:color w:val="0563c1"/>
            <w:sz w:val="18"/>
            <w:szCs w:val="18"/>
            <w:u w:val="single"/>
            <w:shd w:fill="f8f7f7" w:val="clear"/>
            <w:rtl w:val="0"/>
          </w:rPr>
          <w:t xml:space="preserve">Arabic Quarter – Surabaya</w:t>
        </w:r>
      </w:hyperlink>
      <w:r w:rsidDel="00000000" w:rsidR="00000000" w:rsidRPr="00000000">
        <w:rPr>
          <w:rFonts w:ascii="Arial" w:cs="Arial" w:eastAsia="Arial" w:hAnsi="Arial"/>
          <w:i w:val="1"/>
          <w:color w:val="241f21"/>
          <w:sz w:val="18"/>
          <w:szCs w:val="18"/>
          <w:shd w:fill="f8f7f7" w:val="clear"/>
          <w:rtl w:val="0"/>
        </w:rPr>
        <w:t xml:space="preserve"> oleh Axel Drainville</w:t>
      </w:r>
      <w:r w:rsidDel="00000000" w:rsidR="00000000" w:rsidRPr="00000000">
        <w:rPr>
          <w:rFonts w:ascii="Arial" w:cs="Arial" w:eastAsia="Arial" w:hAnsi="Arial"/>
          <w:i w:val="1"/>
          <w:color w:val="241f21"/>
          <w:sz w:val="23"/>
          <w:szCs w:val="23"/>
          <w:shd w:fill="f8f7f7" w:val="clear"/>
          <w:rtl w:val="0"/>
        </w:rPr>
        <w:t xml:space="preserve">. </w:t>
      </w:r>
      <w:r w:rsidDel="00000000" w:rsidR="00000000" w:rsidRPr="00000000">
        <w:rPr>
          <w:rFonts w:ascii="Arial" w:cs="Arial" w:eastAsia="Arial" w:hAnsi="Arial"/>
          <w:i w:val="1"/>
          <w:color w:val="241f21"/>
          <w:sz w:val="18"/>
          <w:szCs w:val="18"/>
          <w:shd w:fill="f8f7f7" w:val="clear"/>
          <w:rtl w:val="0"/>
        </w:rPr>
        <w:t xml:space="preserve">CC BY-NC 2.0 DEED/Flickr</w:t>
      </w:r>
      <w:r w:rsidDel="00000000" w:rsidR="00000000" w:rsidRPr="00000000">
        <w:rPr>
          <w:rtl w:val="0"/>
        </w:rPr>
      </w:r>
    </w:p>
    <w:p w:rsidR="00000000" w:rsidDel="00000000" w:rsidP="00000000" w:rsidRDefault="00000000" w:rsidRPr="00000000" w14:paraId="0000000B">
      <w:pPr>
        <w:rPr/>
      </w:pPr>
      <w:bookmarkStart w:colFirst="0" w:colLast="0" w:name="_41gq1vews6u" w:id="1"/>
      <w:bookmarkEnd w:id="1"/>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Indonesia, yang dulunya merupakan salah satu negara dengan kekuatan manufaktur terbesar di dunia, sedang menghadapi </w:t>
      </w:r>
      <w:hyperlink r:id="rId8">
        <w:r w:rsidDel="00000000" w:rsidR="00000000" w:rsidRPr="00000000">
          <w:rPr>
            <w:color w:val="0563c1"/>
            <w:u w:val="single"/>
            <w:rtl w:val="0"/>
          </w:rPr>
          <w:t xml:space="preserve">deindustrialisasi 'awal'</w:t>
        </w:r>
      </w:hyperlink>
      <w:r w:rsidDel="00000000" w:rsidR="00000000" w:rsidRPr="00000000">
        <w:rPr>
          <w:rtl w:val="0"/>
        </w:rPr>
        <w:t xml:space="preserve"> menurut ekonom Indonesia Ahmad Heri Firdaus.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Manufaktur menyumbang 27,7% dari aktivitas ekonomi pada tahun 2000, tetapi pada kuartal kedua tahun 2020, angka tersebut telah turun menjadi 19,8%. Ini hanyalah salah satu dari banyak faktor yang menghambat peluang Indonesia untuk mengangkat perekonomiannya ke liga besar.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Ketika proporsi penduduk usia produktif (15-65 tahun) lebih besar daripada penduduk usia tua dan muda, negara memiliki peluang untuk meningkatkan pertumbuhan ekonominya. Contohnya adalah meningkatkan produktivitas tenaga kerja, mengeksplorasi potensi ekonomi menjadi kenyataan, dan meningkatkan daya saing bangsa, ekonomi negara tersebut akan melonjak, karena para pekerja menjadi lebih terampil, berpenghasilan lebih tinggi, dan membelanjakan uang mereka.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Kesempatan ini jarang terjadi karena seiring dengan bertambahnya usia penduduk usia kerja, jumlah dan proporsi penduduk lanjut usia meningkat, relatif terhadap jumlah tanggungan. Jika sebuah negara tidak cepat memanfaatkan peluang ini, maka negara tersebut akan kehilangan kesempatan, yang berarti jalan menuju kemakmuran menjadi lebih panjang, lebih lambat dan lebih sulit.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Usia kerja penduduk Indonesia akan mencapai </w:t>
      </w:r>
      <w:hyperlink r:id="rId9">
        <w:r w:rsidDel="00000000" w:rsidR="00000000" w:rsidRPr="00000000">
          <w:rPr>
            <w:color w:val="0563c1"/>
            <w:u w:val="single"/>
            <w:rtl w:val="0"/>
          </w:rPr>
          <w:t xml:space="preserve">proporsi tertinggi</w:t>
        </w:r>
      </w:hyperlink>
      <w:r w:rsidDel="00000000" w:rsidR="00000000" w:rsidRPr="00000000">
        <w:rPr>
          <w:rtl w:val="0"/>
        </w:rPr>
        <w:t xml:space="preserve"> pada tahun 2020-2030, membuka peluang bagi Indonesia untuk meraup apa yang disebut sebagai ‘bonus demografi'. Namun, momen untuk memanfaatkan peluang ini tidak sama di semua provinsi.</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10">
        <w:r w:rsidDel="00000000" w:rsidR="00000000" w:rsidRPr="00000000">
          <w:rPr>
            <w:color w:val="0563c1"/>
            <w:u w:val="single"/>
            <w:rtl w:val="0"/>
          </w:rPr>
          <w:t xml:space="preserve">Sejak tahun 2014</w:t>
        </w:r>
      </w:hyperlink>
      <w:r w:rsidDel="00000000" w:rsidR="00000000" w:rsidRPr="00000000">
        <w:rPr>
          <w:rtl w:val="0"/>
        </w:rPr>
        <w:t xml:space="preserve">, Indonesia telah mengelompokkan provinsi-provinsi berdasarkan panjangnya peluang bonus demografi: tidak ada, pendek, atau panjang. Pengelompokan ini dimaksudkan untuk membuktikan bahwa perubahan struktur penduduk dan kejadian bonus demografi tidak sama di setiap provinsi.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Terdapat perbedaan dalam hal tingkat kesuburan dan mobilitas penduduk. Provinsi-provinsi dengan tingkat migrasi keluar yang tinggi, seperti Sumatera Barat dan Nusa Tenggara Timur, mengalami bonus demografi dalam waktu yang singkat. Provinsi-provinsi di Indonesia Timur masih memiliki tingkat kesuburan yang tinggi. Provinsi yang mengalami migrasi keluar dan tingkat kesuburan yang tinggi akan memiliki struktur penduduk yang lebih banyak usia tidak produktif daripada usia produktif.</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Perubahan ekonomi yang terjadi di provinsi-provinsi yang tidak memiliki gelombang penduduk usia kerja tidak dapat dikaitkan dengan kondisi demografi. Provinsi-provinsi yang hanya menikmati peluang dividen demografi yang singkat juga tidak akan merasakan dampak demografi.</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Namun, provinsi-provinsi yang mengalami periode peluang dividen demografi yang lebih panjang akan mengalami kemajuan lebih lanjut. Hal ini akan menyebabkan peningkatan ketimpangan pembangunan antar provinsi di Indonesia jika tidak ada intervensi dari pemerintah.</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Saat ini terdapat enam provinsi yang akan kehilangan kesempatan mendapatkan bonus demografi. Semua provinsi tersebut berada di luar pulau Jawa. Selama pusat-pusat kegiatan ekonomi atau pusat pertumbuhan masih terkonsentrasi di Pulau Jawa, maka peluang untuk mendapatkan bonus demografi di luar Pulau Jawa akan semakin kecil dan kesempatannya semakin pendek. Sementara itu, kesempatan bagi provinsi-provinsi di Jawa menjadi lebih panjang. Ketimpangan pembangunan ini menjadi isu utama dalam mewujudkan bonus demografi bagi Indonesia secara lebih luas.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Demikian juga, peluang bonus demografi akan hilang jika penduduk usia produktif memiliki latar belakang pendidikan yang rendah. Penghasilan mereka akan selalu rendah sehingga mereka tidak akan berkontribusi secara signifikan terhadap pembangunan dan percepatan pertumbuhan ekonomi. Rata-rata penduduk Indonesia berusia 25 tahun ke atas hanya </w:t>
      </w:r>
      <w:hyperlink r:id="rId11">
        <w:r w:rsidDel="00000000" w:rsidR="00000000" w:rsidRPr="00000000">
          <w:rPr>
            <w:color w:val="0563c1"/>
            <w:u w:val="single"/>
            <w:rtl w:val="0"/>
          </w:rPr>
          <w:t xml:space="preserve">mengenyam pendidikan selama 8,54</w:t>
        </w:r>
      </w:hyperlink>
      <w:r w:rsidDel="00000000" w:rsidR="00000000" w:rsidRPr="00000000">
        <w:rPr>
          <w:rtl w:val="0"/>
        </w:rPr>
        <w:t xml:space="preserve"> tahun atau setara dengan lulus sekolah menengah pertama pada usia 15 tahun.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Dalam hal kesehatan, Indonesia juga menghadapi masalah serius. Penduduk Indonesia yang berada di usia kerja tidak dapat menjadi produktif jika mereka tidak sehat. Lebih dari seperempat anak di bawah usia lima tahun </w:t>
      </w:r>
      <w:hyperlink r:id="rId12">
        <w:r w:rsidDel="00000000" w:rsidR="00000000" w:rsidRPr="00000000">
          <w:rPr>
            <w:color w:val="0563c1"/>
            <w:u w:val="single"/>
            <w:rtl w:val="0"/>
          </w:rPr>
          <w:t xml:space="preserve">mengalami stunting (kerdil)</w:t>
        </w:r>
      </w:hyperlink>
      <w:r w:rsidDel="00000000" w:rsidR="00000000" w:rsidRPr="00000000">
        <w:rPr>
          <w:rtl w:val="0"/>
        </w:rPr>
        <w:t xml:space="preserve"> akibat kekurangan gizi, yang membuat mereka menghadapi masalah kesehatan seumur hidup.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Tingkat pengangguran masih tinggi di beberapa provinsi. Secara nasional, tingkat pengangguran </w:t>
      </w:r>
      <w:hyperlink r:id="rId13">
        <w:r w:rsidDel="00000000" w:rsidR="00000000" w:rsidRPr="00000000">
          <w:rPr>
            <w:color w:val="0563c1"/>
            <w:u w:val="single"/>
            <w:rtl w:val="0"/>
          </w:rPr>
          <w:t xml:space="preserve">telah menurun</w:t>
        </w:r>
      </w:hyperlink>
      <w:r w:rsidDel="00000000" w:rsidR="00000000" w:rsidRPr="00000000">
        <w:rPr>
          <w:rtl w:val="0"/>
        </w:rPr>
        <w:t xml:space="preserve"> dan kurang dari 6 persen. Namun, banyak penduduk usia produktif yang bekerja dengan jam kerja yang lebih sedikit dari yang mereka inginkan, yang berarti mereka setengah menganggur, dan hal ini berimplikasi pada pembangunan ekonomi.</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Indonesia masih dibayangi oleh ancaman krisis air dan energi. Jika pemerintah gagal mengelola krisis-krisis ini, Indonesia akan kehilangan kesempatan untuk mendapatkan bonus demografi.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Mewujudkan dividen demografi juga dipengaruhi oleh struktur ekonomi suatu negara. Ekonomi suatu negara dapat dipimpin oleh sektor industri yang bernilai tinggi, namun di Indonesia </w:t>
      </w:r>
      <w:hyperlink r:id="rId14">
        <w:r w:rsidDel="00000000" w:rsidR="00000000" w:rsidRPr="00000000">
          <w:rPr>
            <w:color w:val="0563c1"/>
            <w:u w:val="single"/>
            <w:rtl w:val="0"/>
          </w:rPr>
          <w:t xml:space="preserve">sedang terjadi deindustrialisasi</w:t>
        </w:r>
      </w:hyperlink>
      <w:r w:rsidDel="00000000" w:rsidR="00000000" w:rsidRPr="00000000">
        <w:rPr>
          <w:rtl w:val="0"/>
        </w:rPr>
        <w:t xml:space="preserve">. Sektor manufaktur, yang memiliki produktivitas tinggi, mengalami penurunan kontribusi terhadap produk domestik bruto. Produk bernilai tambah belum berkembang dengan baik, sehingga ekspor Indonesia didominasi oleh komoditas primer dan barang setengah jadi.</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Hambatan-hambatan untuk mengambil keuntungan dari jendela peluang demografis yang dibuka pada tahun 2012 di Indonesia semakin besar. Kecuali ada perubahan konsentrasi pusat-pusat ekonomi di luar Jawa dan program keluarga berencana di bagian timur Indonesia, Indonesia akan tetap terjebak sebagai negara berpenghasilan menengah.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rPr>
      </w:pPr>
      <w:r w:rsidDel="00000000" w:rsidR="00000000" w:rsidRPr="00000000">
        <w:rPr>
          <w:b w:val="1"/>
          <w:i w:val="1"/>
          <w:rtl w:val="0"/>
        </w:rPr>
        <w:t xml:space="preserve">Werry Darta Taifur</w:t>
      </w:r>
      <w:r w:rsidDel="00000000" w:rsidR="00000000" w:rsidRPr="00000000">
        <w:rPr>
          <w:i w:val="1"/>
          <w:rtl w:val="0"/>
        </w:rPr>
        <w:t xml:space="preserve"> adalah seorang profesor ekonomi di Universitas Andalas, Padang, Indonesia. Beliau menjabat sebagai rektor dari tahun 2011-2015. Minat penelitiannya adalah pada kemiskinan, keuangan daerah dan perencanaan pembangunan.</w:t>
      </w:r>
    </w:p>
    <w:p w:rsidR="00000000" w:rsidDel="00000000" w:rsidP="00000000" w:rsidRDefault="00000000" w:rsidRPr="00000000" w14:paraId="0000002D">
      <w:pPr>
        <w:rPr>
          <w:i w:val="1"/>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rtl w:val="0"/>
        </w:rPr>
        <w:t xml:space="preserve">Artikel ini </w:t>
      </w:r>
      <w:hyperlink r:id="rId15">
        <w:r w:rsidDel="00000000" w:rsidR="00000000" w:rsidRPr="00000000">
          <w:rPr>
            <w:color w:val="0563c1"/>
            <w:u w:val="single"/>
            <w:rtl w:val="0"/>
          </w:rPr>
          <w:t xml:space="preserve">pertama kali</w:t>
        </w:r>
      </w:hyperlink>
      <w:r w:rsidDel="00000000" w:rsidR="00000000" w:rsidRPr="00000000">
        <w:rPr>
          <w:rtl w:val="0"/>
        </w:rPr>
        <w:t xml:space="preserve"> dipublikasikan 21 November 2022 tanggal di bawah lisensi </w:t>
      </w:r>
      <w:hyperlink r:id="rId16">
        <w:r w:rsidDel="00000000" w:rsidR="00000000" w:rsidRPr="00000000">
          <w:rPr>
            <w:color w:val="0563c1"/>
            <w:u w:val="single"/>
            <w:rtl w:val="0"/>
          </w:rPr>
          <w:t xml:space="preserve">Creative Commons</w:t>
        </w:r>
      </w:hyperlink>
      <w:r w:rsidDel="00000000" w:rsidR="00000000" w:rsidRPr="00000000">
        <w:rPr>
          <w:rtl w:val="0"/>
        </w:rPr>
        <w:t xml:space="preserve"> oleh </w:t>
      </w:r>
      <w:hyperlink r:id="rId17">
        <w:r w:rsidDel="00000000" w:rsidR="00000000" w:rsidRPr="00000000">
          <w:rPr>
            <w:color w:val="0563c1"/>
            <w:u w:val="single"/>
            <w:rtl w:val="0"/>
          </w:rPr>
          <w:t xml:space="preserve">360info</w:t>
        </w:r>
      </w:hyperlink>
      <w:r w:rsidDel="00000000" w:rsidR="00000000" w:rsidRPr="00000000">
        <w:rPr>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irusa.bps.go.id/sirusa/index.php/indikator/572" TargetMode="External"/><Relationship Id="rId10" Type="http://schemas.openxmlformats.org/officeDocument/2006/relationships/hyperlink" Target="https://www.batukarinfo.com/news/enam-provinsi-tanpa-bonus-demografi" TargetMode="External"/><Relationship Id="rId13" Type="http://schemas.openxmlformats.org/officeDocument/2006/relationships/hyperlink" Target="https://en.tempo.co/read/1558748/indonesias-unemployment-rate-down-to-6-49-in-2021" TargetMode="External"/><Relationship Id="rId12" Type="http://schemas.openxmlformats.org/officeDocument/2006/relationships/hyperlink" Target="https://sehatnegeriku.kemkes.go.id/baca/umum/20211227/4339063/penurunan-prevalensi-stunting-tahun-2021-sebagai-modal-menuju-generasi-emas-indonesia-20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ps.go.id/publication/2022/06/24/ea52f6a38d3913a5bc557c5f/analisis-profil-penduduk-indonesia.html" TargetMode="External"/><Relationship Id="rId15" Type="http://schemas.openxmlformats.org/officeDocument/2006/relationships/hyperlink" Target="https://360info.org/indonesia-at-risk-of-missing-golden-economic-opportunity/" TargetMode="External"/><Relationship Id="rId14" Type="http://schemas.openxmlformats.org/officeDocument/2006/relationships/hyperlink" Target="https://onlinelibrary.wiley.com/doi/full/10.1002/app5.295" TargetMode="External"/><Relationship Id="rId17" Type="http://schemas.openxmlformats.org/officeDocument/2006/relationships/hyperlink" Target="https://360info.org/" TargetMode="External"/><Relationship Id="rId16"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lickr.com/photos/axelrd/15724146087/" TargetMode="External"/><Relationship Id="rId8" Type="http://schemas.openxmlformats.org/officeDocument/2006/relationships/hyperlink" Target="https://ekonomi.bisnis.com/read/20210713/257/1417269/duh-indonesia-dinilai-alami-deindustrialisasi-d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